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0F" w:rsidRPr="00265D2D" w:rsidRDefault="00FC5715" w:rsidP="00265D2D">
      <w:pPr>
        <w:shd w:val="clear" w:color="auto" w:fill="D9D9D9" w:themeFill="background1" w:themeFillShade="D9"/>
        <w:bidi/>
        <w:spacing w:after="0" w:line="306" w:lineRule="atLeast"/>
        <w:jc w:val="center"/>
        <w:rPr>
          <w:rFonts w:ascii="Tahoma" w:eastAsia="Times New Roman" w:hAnsi="Tahoma" w:cs="B Titr"/>
          <w:b/>
          <w:bCs/>
          <w:color w:val="000000" w:themeColor="text1"/>
          <w:sz w:val="32"/>
          <w:szCs w:val="32"/>
          <w:rtl/>
        </w:rPr>
      </w:pPr>
      <w:r w:rsidRPr="00265D2D">
        <w:rPr>
          <w:rFonts w:ascii="Tahoma" w:eastAsia="Times New Roman" w:hAnsi="Tahoma" w:cs="B Titr" w:hint="cs"/>
          <w:b/>
          <w:bCs/>
          <w:color w:val="000000" w:themeColor="text1"/>
          <w:sz w:val="32"/>
          <w:szCs w:val="32"/>
          <w:rtl/>
        </w:rPr>
        <w:t xml:space="preserve">ماده 24 </w:t>
      </w:r>
      <w:r w:rsidR="00DC7B0F" w:rsidRPr="00265D2D">
        <w:rPr>
          <w:rFonts w:ascii="Tahoma" w:eastAsia="Times New Roman" w:hAnsi="Tahoma" w:cs="B Titr"/>
          <w:b/>
          <w:bCs/>
          <w:color w:val="000000" w:themeColor="text1"/>
          <w:sz w:val="32"/>
          <w:szCs w:val="32"/>
          <w:rtl/>
        </w:rPr>
        <w:t>قانون ارتقاء سلامت نظام اداري و مقابله با فساد</w:t>
      </w:r>
    </w:p>
    <w:p w:rsidR="00FC5715" w:rsidRDefault="00FC5715" w:rsidP="00FC5715">
      <w:pPr>
        <w:bidi/>
        <w:spacing w:after="0" w:line="312" w:lineRule="atLeast"/>
        <w:rPr>
          <w:rFonts w:ascii="Verdana" w:eastAsia="Times New Roman" w:hAnsi="Verdana" w:cs="B Nazanin"/>
          <w:b/>
          <w:bCs/>
          <w:color w:val="000000"/>
          <w:sz w:val="32"/>
          <w:szCs w:val="32"/>
          <w:rtl/>
        </w:rPr>
      </w:pPr>
    </w:p>
    <w:p w:rsidR="001F1390" w:rsidRDefault="001F1390" w:rsidP="00FC5715">
      <w:pPr>
        <w:bidi/>
        <w:spacing w:after="0" w:line="312" w:lineRule="atLeast"/>
        <w:jc w:val="both"/>
        <w:rPr>
          <w:rFonts w:ascii="Verdana" w:eastAsia="Times New Roman" w:hAnsi="Verdana" w:cs="B Nazanin"/>
          <w:b/>
          <w:bCs/>
          <w:color w:val="000000"/>
          <w:sz w:val="32"/>
          <w:szCs w:val="32"/>
          <w:rtl/>
        </w:rPr>
      </w:pPr>
    </w:p>
    <w:p w:rsidR="00FC5715" w:rsidRPr="00265D2D" w:rsidRDefault="00FC5715" w:rsidP="00457484">
      <w:pPr>
        <w:bidi/>
        <w:spacing w:before="240"/>
        <w:jc w:val="lowKashida"/>
        <w:rPr>
          <w:rFonts w:ascii="Verdana" w:eastAsia="Times New Roman" w:hAnsi="Verdana" w:cs="B Davat"/>
          <w:b/>
          <w:bCs/>
          <w:color w:val="000000"/>
          <w:sz w:val="36"/>
          <w:szCs w:val="36"/>
          <w:rtl/>
        </w:rPr>
      </w:pPr>
      <w:r w:rsidRPr="00265D2D">
        <w:rPr>
          <w:rFonts w:ascii="Verdana" w:eastAsia="Times New Roman" w:hAnsi="Verdana" w:cs="B Davat"/>
          <w:b/>
          <w:bCs/>
          <w:color w:val="000000"/>
          <w:sz w:val="36"/>
          <w:szCs w:val="36"/>
          <w:rtl/>
        </w:rPr>
        <w:t>ماده24ـ هرگونه اظهار خلاف واقع و نيز ارائه اسناد و مدارك غيرواقعي به دستگاههاي مشـمول اين قانون كه موجب تضـييع حقوق قانوني دولت يا شـخص ثالث و يا فرار از پرداخت عوارض يا كسب امتياز ناروا گردد، جرم محسوب مي‌شود. چنان</w:t>
      </w:r>
      <w:bookmarkStart w:id="0" w:name="_GoBack"/>
      <w:bookmarkEnd w:id="0"/>
      <w:r w:rsidRPr="00265D2D">
        <w:rPr>
          <w:rFonts w:ascii="Verdana" w:eastAsia="Times New Roman" w:hAnsi="Verdana" w:cs="B Davat"/>
          <w:b/>
          <w:bCs/>
          <w:color w:val="000000"/>
          <w:sz w:val="36"/>
          <w:szCs w:val="36"/>
          <w:rtl/>
        </w:rPr>
        <w:t>چه براي عمل ارتكابي در ساير قوانين مجازاتي تعيين شده باشد به همان مجازات محكوم مي‌شود. در غير اين صورت علاوه بر لغو امتياز، مرتكب به جزاي نقدي معادل حقوق تضييع‌شده و نيز جبران زيان وارده با مطالبه ذي‌نفع محكوم مي‌گردد.</w:t>
      </w:r>
    </w:p>
    <w:p w:rsidR="00FC5715" w:rsidRPr="00457484" w:rsidRDefault="00FC5715" w:rsidP="00457484">
      <w:pPr>
        <w:pStyle w:val="ListParagraph"/>
        <w:numPr>
          <w:ilvl w:val="0"/>
          <w:numId w:val="2"/>
        </w:numPr>
        <w:shd w:val="clear" w:color="auto" w:fill="D9D9D9" w:themeFill="background1" w:themeFillShade="D9"/>
        <w:bidi/>
        <w:spacing w:before="240"/>
        <w:jc w:val="lowKashida"/>
        <w:rPr>
          <w:rFonts w:ascii="Verdana" w:eastAsia="Times New Roman" w:hAnsi="Verdana" w:cs="B Davat"/>
          <w:b/>
          <w:bCs/>
          <w:color w:val="00B0F0"/>
          <w:sz w:val="36"/>
          <w:szCs w:val="36"/>
        </w:rPr>
      </w:pPr>
      <w:r w:rsidRPr="00457484">
        <w:rPr>
          <w:rFonts w:ascii="Verdana" w:eastAsia="Times New Roman" w:hAnsi="Verdana" w:cs="B Davat"/>
          <w:b/>
          <w:bCs/>
          <w:color w:val="000000"/>
          <w:sz w:val="36"/>
          <w:szCs w:val="36"/>
          <w:rtl/>
        </w:rPr>
        <w:t>هر يك از كاركنان دستگاهها كه حسب وظيفه با موارد مذكور مواجه شوند مكلفند موضوع را به مق</w:t>
      </w:r>
      <w:r w:rsidR="00402FF2" w:rsidRPr="00457484">
        <w:rPr>
          <w:rFonts w:ascii="Verdana" w:eastAsia="Times New Roman" w:hAnsi="Verdana" w:cs="B Davat"/>
          <w:b/>
          <w:bCs/>
          <w:color w:val="000000"/>
          <w:sz w:val="36"/>
          <w:szCs w:val="36"/>
          <w:rtl/>
        </w:rPr>
        <w:t>ام بالاتر گزارش نمايند، مقام مس</w:t>
      </w:r>
      <w:r w:rsidR="00402FF2" w:rsidRPr="00457484">
        <w:rPr>
          <w:rFonts w:ascii="Verdana" w:eastAsia="Times New Roman" w:hAnsi="Verdana" w:cs="B Davat" w:hint="cs"/>
          <w:b/>
          <w:bCs/>
          <w:color w:val="000000"/>
          <w:sz w:val="36"/>
          <w:szCs w:val="36"/>
          <w:rtl/>
        </w:rPr>
        <w:t>ئ</w:t>
      </w:r>
      <w:r w:rsidRPr="00457484">
        <w:rPr>
          <w:rFonts w:ascii="Verdana" w:eastAsia="Times New Roman" w:hAnsi="Verdana" w:cs="B Davat"/>
          <w:b/>
          <w:bCs/>
          <w:color w:val="000000"/>
          <w:sz w:val="36"/>
          <w:szCs w:val="36"/>
          <w:rtl/>
        </w:rPr>
        <w:t>ول درصورتي كه گزارش را مقرون به صحت تشخيص دهد مراتب را به مرجع قضائي اعلام مي‌نمايد. متخلفين از اين تكليف به مجازات يك تا سه سال انفصال موقت از خدمات دولتي و عمومي محكوم مي‌شوند.</w:t>
      </w:r>
    </w:p>
    <w:p w:rsidR="0028211B" w:rsidRPr="00265D2D" w:rsidRDefault="0028211B">
      <w:pPr>
        <w:rPr>
          <w:rFonts w:cs="B Davat"/>
          <w:b/>
          <w:bCs/>
        </w:rPr>
      </w:pPr>
    </w:p>
    <w:sectPr w:rsidR="0028211B" w:rsidRPr="00265D2D" w:rsidSect="00265D2D">
      <w:pgSz w:w="16840" w:h="11907" w:orient="landscape" w:code="9"/>
      <w:pgMar w:top="1418" w:right="1418" w:bottom="1701" w:left="1418" w:header="720" w:footer="72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3056"/>
    <w:multiLevelType w:val="hybridMultilevel"/>
    <w:tmpl w:val="455A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F7E39"/>
    <w:multiLevelType w:val="hybridMultilevel"/>
    <w:tmpl w:val="0FB4C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
  <w:rsids>
    <w:rsidRoot w:val="00CE5C28"/>
    <w:rsid w:val="001F1390"/>
    <w:rsid w:val="00265D2D"/>
    <w:rsid w:val="0028211B"/>
    <w:rsid w:val="00402FF2"/>
    <w:rsid w:val="00457484"/>
    <w:rsid w:val="007D67E3"/>
    <w:rsid w:val="00CE5C28"/>
    <w:rsid w:val="00DC7B0F"/>
    <w:rsid w:val="00FC5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0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0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Adab</cp:lastModifiedBy>
  <cp:revision>7</cp:revision>
  <dcterms:created xsi:type="dcterms:W3CDTF">2019-06-02T17:35:00Z</dcterms:created>
  <dcterms:modified xsi:type="dcterms:W3CDTF">2019-10-15T06:18:00Z</dcterms:modified>
</cp:coreProperties>
</file>